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F6ADC" w14:textId="77777777" w:rsidR="00E93BF5" w:rsidRPr="00FC48BC" w:rsidRDefault="00FC48BC" w:rsidP="00FC48BC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</w:rPr>
      </w:pPr>
      <w:r w:rsidRPr="00FC48BC">
        <w:rPr>
          <w:rFonts w:ascii="Trebuchet MS" w:hAnsi="Trebuchet MS" w:cs="Arial"/>
          <w:b/>
          <w:sz w:val="32"/>
          <w:szCs w:val="32"/>
          <w:u w:val="single"/>
          <w:lang w:val="eu-ES"/>
        </w:rPr>
        <w:t>PRENTSA-OHARRA</w:t>
      </w:r>
    </w:p>
    <w:p w14:paraId="4B3F6ADD" w14:textId="77777777" w:rsidR="00B11287" w:rsidRPr="00AA6898" w:rsidRDefault="00B11287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</w:rPr>
      </w:pPr>
    </w:p>
    <w:p w14:paraId="4B3F6ADE" w14:textId="77777777" w:rsidR="00300221" w:rsidRPr="00860C00" w:rsidRDefault="00FC48BC" w:rsidP="00EF348A">
      <w:pPr>
        <w:rPr>
          <w:rFonts w:ascii="Trebuchet MS" w:eastAsia="Times New Roman" w:hAnsi="Trebuchet MS" w:cs="Arial"/>
          <w:b/>
          <w:bCs/>
        </w:rPr>
      </w:pPr>
      <w:r w:rsidRPr="00EF348A">
        <w:rPr>
          <w:rFonts w:ascii="Trebuchet MS" w:eastAsia="Times New Roman" w:hAnsi="Trebuchet MS" w:cs="Arial"/>
          <w:b/>
          <w:sz w:val="38"/>
          <w:szCs w:val="38"/>
          <w:lang w:val="eu-ES"/>
        </w:rPr>
        <w:t xml:space="preserve">EUSKADIKO 433 </w:t>
      </w:r>
      <w:r w:rsidR="00EF348A" w:rsidRPr="00EF348A">
        <w:rPr>
          <w:rFonts w:ascii="Trebuchet MS" w:eastAsia="Times New Roman" w:hAnsi="Trebuchet MS" w:cs="Arial"/>
          <w:b/>
          <w:sz w:val="38"/>
          <w:szCs w:val="38"/>
          <w:lang w:val="eu-ES"/>
        </w:rPr>
        <w:t>ANTOLAKUNDEK</w:t>
      </w:r>
      <w:r w:rsidRPr="00EF348A">
        <w:rPr>
          <w:rFonts w:ascii="Trebuchet MS" w:eastAsia="Times New Roman" w:hAnsi="Trebuchet MS" w:cs="Arial"/>
          <w:b/>
          <w:sz w:val="38"/>
          <w:szCs w:val="38"/>
          <w:lang w:val="eu-ES"/>
        </w:rPr>
        <w:t xml:space="preserve"> BERRIKUNTZA ARLOKO BEREN KONPETENTZIAK SENDOTU DITUZTE 2024AN, INNOBASQUEREN ‘FORMAKUNTZA BERRIKUNTZAN’ PROGRAMAREN BIDEZ</w:t>
      </w:r>
      <w:r w:rsidR="00E84160" w:rsidRPr="00EF348A">
        <w:rPr>
          <w:rFonts w:ascii="Trebuchet MS" w:eastAsia="Times New Roman" w:hAnsi="Trebuchet MS" w:cs="Arial"/>
          <w:b/>
          <w:sz w:val="38"/>
          <w:szCs w:val="38"/>
          <w:lang w:val="eu-ES"/>
        </w:rPr>
        <w:t xml:space="preserve"> </w:t>
      </w:r>
    </w:p>
    <w:p w14:paraId="4B3F6ADF" w14:textId="77777777" w:rsidR="00300221" w:rsidRPr="00860C00" w:rsidRDefault="00300221" w:rsidP="00860C00">
      <w:pPr>
        <w:rPr>
          <w:rFonts w:ascii="Trebuchet MS" w:eastAsia="Times New Roman" w:hAnsi="Trebuchet MS" w:cs="Arial"/>
          <w:b/>
          <w:bCs/>
        </w:rPr>
      </w:pPr>
    </w:p>
    <w:p w14:paraId="4B3F6AE0" w14:textId="77777777" w:rsidR="00EF348A" w:rsidRPr="00EF348A" w:rsidRDefault="00EF348A" w:rsidP="00EF348A">
      <w:pPr>
        <w:pStyle w:val="Prrafodelista"/>
        <w:numPr>
          <w:ilvl w:val="0"/>
          <w:numId w:val="6"/>
        </w:numPr>
        <w:rPr>
          <w:rFonts w:ascii="Trebuchet MS" w:eastAsia="Times New Roman" w:hAnsi="Trebuchet MS" w:cs="Arial"/>
          <w:b/>
          <w:bCs/>
        </w:rPr>
      </w:pPr>
      <w:r w:rsidRPr="00EF348A">
        <w:rPr>
          <w:rFonts w:ascii="Trebuchet MS" w:eastAsia="Times New Roman" w:hAnsi="Trebuchet MS" w:cs="Arial"/>
          <w:b/>
          <w:bCs/>
          <w:lang w:val="eu-ES"/>
        </w:rPr>
        <w:t>Bertaratutako antolakundeen %72 (300 baino gehiago) enpresak izan dira, eta horietatik erdia tamaina txikikoak, 11 eta 50 langile artekoak</w:t>
      </w:r>
    </w:p>
    <w:p w14:paraId="4B3F6AE1" w14:textId="77777777" w:rsidR="00217C2E" w:rsidRPr="0072580D" w:rsidRDefault="00217C2E" w:rsidP="00217C2E">
      <w:pPr>
        <w:pStyle w:val="Prrafodelista"/>
        <w:rPr>
          <w:rFonts w:ascii="Trebuchet MS" w:eastAsia="Times New Roman" w:hAnsi="Trebuchet MS" w:cs="Arial"/>
          <w:b/>
          <w:bCs/>
        </w:rPr>
      </w:pPr>
    </w:p>
    <w:p w14:paraId="4B3F6AE2" w14:textId="77777777" w:rsidR="00EF348A" w:rsidRPr="00EF348A" w:rsidRDefault="00EF348A" w:rsidP="00EF348A">
      <w:pPr>
        <w:pStyle w:val="Prrafodelista"/>
        <w:numPr>
          <w:ilvl w:val="0"/>
          <w:numId w:val="6"/>
        </w:numPr>
        <w:rPr>
          <w:rFonts w:ascii="Trebuchet MS" w:eastAsia="Times New Roman" w:hAnsi="Trebuchet MS" w:cs="Arial"/>
          <w:b/>
          <w:bCs/>
        </w:rPr>
      </w:pPr>
      <w:r w:rsidRPr="00EF348A">
        <w:rPr>
          <w:rFonts w:ascii="Trebuchet MS" w:eastAsia="Times New Roman" w:hAnsi="Trebuchet MS" w:cs="Arial"/>
          <w:b/>
          <w:bCs/>
          <w:lang w:val="eu-ES"/>
        </w:rPr>
        <w:t>720 profesionalek hartu dute parte formakuntzako katalogoan. Gaikako hiru bloketan banatu da eskaintza, profil desberdinen beharrizan zehatzei erantzuteko</w:t>
      </w:r>
    </w:p>
    <w:p w14:paraId="4B3F6AE3" w14:textId="77777777" w:rsidR="008D06C9" w:rsidRPr="008D06C9" w:rsidRDefault="008D06C9" w:rsidP="008D06C9">
      <w:pPr>
        <w:pStyle w:val="Prrafodelista"/>
        <w:rPr>
          <w:rFonts w:ascii="Trebuchet MS" w:eastAsia="Times New Roman" w:hAnsi="Trebuchet MS" w:cs="Arial"/>
          <w:b/>
          <w:bCs/>
        </w:rPr>
      </w:pPr>
    </w:p>
    <w:p w14:paraId="4B3F6AE4" w14:textId="77777777" w:rsidR="00EF348A" w:rsidRPr="00EF348A" w:rsidRDefault="00EF348A" w:rsidP="00EF348A">
      <w:pPr>
        <w:pStyle w:val="Prrafodelista"/>
        <w:numPr>
          <w:ilvl w:val="0"/>
          <w:numId w:val="6"/>
        </w:numPr>
        <w:rPr>
          <w:rFonts w:ascii="Trebuchet MS" w:eastAsia="Times New Roman" w:hAnsi="Trebuchet MS" w:cs="Arial"/>
          <w:b/>
          <w:bCs/>
        </w:rPr>
      </w:pPr>
      <w:r w:rsidRPr="00EF348A">
        <w:rPr>
          <w:rFonts w:ascii="Trebuchet MS" w:eastAsia="Times New Roman" w:hAnsi="Trebuchet MS" w:cs="Arial"/>
          <w:b/>
          <w:bCs/>
          <w:lang w:val="eu-ES"/>
        </w:rPr>
        <w:t>Parte hartu duten antolakundeek, batez beste, 2 ikastaro egin dituzte urtean, eta 10etik 8,5 punturekin baloratu dute esperientzia</w:t>
      </w:r>
      <w:r w:rsidRPr="00EF348A">
        <w:rPr>
          <w:rFonts w:ascii="Trebuchet MS" w:eastAsia="Times New Roman" w:hAnsi="Trebuchet MS" w:cs="Arial"/>
          <w:b/>
          <w:bCs/>
        </w:rPr>
        <w:t xml:space="preserve"> </w:t>
      </w:r>
    </w:p>
    <w:p w14:paraId="4B3F6AE5" w14:textId="77777777" w:rsidR="009350F6" w:rsidRPr="009350F6" w:rsidRDefault="009350F6" w:rsidP="00693B36"/>
    <w:p w14:paraId="4B3F6AE6" w14:textId="578312BA" w:rsidR="00B97989" w:rsidRPr="00EF348A" w:rsidRDefault="00FC48BC" w:rsidP="00EF348A">
      <w:pPr>
        <w:jc w:val="both"/>
        <w:rPr>
          <w:rFonts w:ascii="Trebuchet MS" w:hAnsi="Trebuchet MS"/>
        </w:rPr>
      </w:pPr>
      <w:r w:rsidRPr="00EF348A">
        <w:rPr>
          <w:rFonts w:ascii="Trebuchet MS" w:hAnsi="Trebuchet MS"/>
          <w:b/>
          <w:bCs/>
          <w:lang w:val="eu-ES"/>
        </w:rPr>
        <w:t>Innobasque, 202</w:t>
      </w:r>
      <w:r w:rsidR="0026358D">
        <w:rPr>
          <w:rFonts w:ascii="Trebuchet MS" w:hAnsi="Trebuchet MS"/>
          <w:b/>
          <w:bCs/>
          <w:lang w:val="eu-ES"/>
        </w:rPr>
        <w:t>5</w:t>
      </w:r>
      <w:r w:rsidRPr="00EF348A">
        <w:rPr>
          <w:rFonts w:ascii="Trebuchet MS" w:hAnsi="Trebuchet MS"/>
          <w:b/>
          <w:bCs/>
          <w:lang w:val="eu-ES"/>
        </w:rPr>
        <w:t xml:space="preserve">ko </w:t>
      </w:r>
      <w:r w:rsidR="0026358D">
        <w:rPr>
          <w:rFonts w:ascii="Trebuchet MS" w:hAnsi="Trebuchet MS"/>
          <w:b/>
          <w:bCs/>
          <w:lang w:val="eu-ES"/>
        </w:rPr>
        <w:t>urtarrilaren</w:t>
      </w:r>
      <w:r w:rsidRPr="00EF348A">
        <w:rPr>
          <w:rFonts w:ascii="Trebuchet MS" w:hAnsi="Trebuchet MS"/>
          <w:b/>
          <w:bCs/>
          <w:lang w:val="eu-ES"/>
        </w:rPr>
        <w:t xml:space="preserve"> </w:t>
      </w:r>
      <w:r w:rsidR="0026358D">
        <w:rPr>
          <w:rFonts w:ascii="Trebuchet MS" w:hAnsi="Trebuchet MS"/>
          <w:b/>
          <w:bCs/>
          <w:lang w:val="eu-ES"/>
        </w:rPr>
        <w:t>2</w:t>
      </w:r>
      <w:r w:rsidRPr="00EF348A">
        <w:rPr>
          <w:rFonts w:ascii="Trebuchet MS" w:hAnsi="Trebuchet MS"/>
          <w:b/>
          <w:bCs/>
          <w:lang w:val="eu-ES"/>
        </w:rPr>
        <w:t xml:space="preserve">a. </w:t>
      </w:r>
      <w:r w:rsidR="006B0BD4" w:rsidRPr="00EF348A">
        <w:rPr>
          <w:rFonts w:ascii="Trebuchet MS" w:hAnsi="Trebuchet MS"/>
          <w:bCs/>
          <w:lang w:val="eu-ES"/>
        </w:rPr>
        <w:t xml:space="preserve">2024an 433 antolakundek eta </w:t>
      </w:r>
      <w:r w:rsidR="006B0BD4" w:rsidRPr="00EF348A">
        <w:rPr>
          <w:rFonts w:ascii="Trebuchet MS" w:hAnsi="Trebuchet MS"/>
          <w:lang w:val="eu-ES"/>
        </w:rPr>
        <w:t>720</w:t>
      </w:r>
      <w:r w:rsidR="006B0BD4" w:rsidRPr="00EF348A">
        <w:rPr>
          <w:rFonts w:ascii="Trebuchet MS" w:hAnsi="Trebuchet MS"/>
          <w:bCs/>
          <w:lang w:val="eu-ES"/>
        </w:rPr>
        <w:t xml:space="preserve"> profesionalek hartu dute parte </w:t>
      </w:r>
      <w:r w:rsidR="006B0BD4" w:rsidRPr="00EF348A">
        <w:rPr>
          <w:rFonts w:ascii="Trebuchet MS" w:hAnsi="Trebuchet MS"/>
          <w:lang w:val="eu-ES"/>
        </w:rPr>
        <w:t>‘Formakuntza Berrikuntzan’ programan</w:t>
      </w:r>
      <w:r w:rsidRPr="00EF348A">
        <w:rPr>
          <w:rFonts w:ascii="Trebuchet MS" w:hAnsi="Trebuchet MS"/>
          <w:lang w:val="eu-ES"/>
        </w:rPr>
        <w:t>.</w:t>
      </w:r>
      <w:r w:rsidR="00EF348A" w:rsidRPr="00EF348A">
        <w:rPr>
          <w:rFonts w:ascii="Trebuchet MS" w:hAnsi="Trebuchet MS"/>
          <w:lang w:val="eu-ES"/>
        </w:rPr>
        <w:t xml:space="preserve"> </w:t>
      </w:r>
      <w:r w:rsidR="00EF348A" w:rsidRPr="00EF348A">
        <w:rPr>
          <w:rFonts w:ascii="Trebuchet MS" w:hAnsi="Trebuchet MS"/>
          <w:bCs/>
          <w:lang w:val="eu-ES"/>
        </w:rPr>
        <w:t>Innobasquek</w:t>
      </w:r>
      <w:r w:rsidR="00EF348A" w:rsidRPr="00EF348A">
        <w:rPr>
          <w:rFonts w:ascii="Trebuchet MS" w:hAnsi="Trebuchet MS"/>
          <w:lang w:val="eu-ES"/>
        </w:rPr>
        <w:t>, Berrikuntzaren Euskal Agentziak, diseinatutako</w:t>
      </w:r>
      <w:r w:rsidR="006B0BD4" w:rsidRPr="00EF348A">
        <w:rPr>
          <w:rFonts w:ascii="Trebuchet MS" w:hAnsi="Trebuchet MS"/>
          <w:lang w:val="eu-ES"/>
        </w:rPr>
        <w:t xml:space="preserve"> </w:t>
      </w:r>
      <w:r w:rsidR="00EF348A" w:rsidRPr="00EF348A">
        <w:rPr>
          <w:rFonts w:ascii="Trebuchet MS" w:hAnsi="Trebuchet MS"/>
          <w:lang w:val="eu-ES"/>
        </w:rPr>
        <w:t>programa horretan g</w:t>
      </w:r>
      <w:r w:rsidR="006B0BD4" w:rsidRPr="00EF348A">
        <w:rPr>
          <w:rFonts w:ascii="Trebuchet MS" w:hAnsi="Trebuchet MS"/>
          <w:lang w:val="eu-ES"/>
        </w:rPr>
        <w:t>uztira 46 ikastaro izan dira, eta antolakunde bakoitzak, batez beste, 2 ikastarotan (2,18)</w:t>
      </w:r>
      <w:r w:rsidR="006B0BD4" w:rsidRPr="00EF348A">
        <w:rPr>
          <w:rFonts w:ascii="Trebuchet MS" w:hAnsi="Trebuchet MS"/>
          <w:b/>
          <w:bCs/>
          <w:lang w:val="eu-ES"/>
        </w:rPr>
        <w:t xml:space="preserve"> </w:t>
      </w:r>
      <w:r w:rsidR="006B0BD4" w:rsidRPr="00EF348A">
        <w:rPr>
          <w:rFonts w:ascii="Trebuchet MS" w:hAnsi="Trebuchet MS"/>
          <w:bCs/>
          <w:lang w:val="eu-ES"/>
        </w:rPr>
        <w:t>hartu du parte 2024an. Euskadiko enpresen eta antolakundeen gaitasun berritzailea bultzatzea da programa horren xedea.</w:t>
      </w:r>
    </w:p>
    <w:p w14:paraId="4B3F6AE7" w14:textId="77777777" w:rsidR="00B97989" w:rsidRPr="0026358D" w:rsidRDefault="006B0BD4" w:rsidP="00EF348A">
      <w:pPr>
        <w:jc w:val="both"/>
        <w:rPr>
          <w:rFonts w:ascii="Trebuchet MS" w:hAnsi="Trebuchet MS"/>
          <w:lang w:val="eu-ES"/>
        </w:rPr>
      </w:pPr>
      <w:r w:rsidRPr="00EF348A">
        <w:rPr>
          <w:rFonts w:ascii="Trebuchet MS" w:hAnsi="Trebuchet MS"/>
          <w:lang w:val="eu-ES"/>
        </w:rPr>
        <w:t>Estaldurari dagokionez, hiru lurraldeetan egin dira</w:t>
      </w:r>
      <w:r w:rsidR="00EF348A" w:rsidRPr="00EF348A">
        <w:rPr>
          <w:rFonts w:ascii="Trebuchet MS" w:hAnsi="Trebuchet MS"/>
          <w:lang w:val="eu-ES"/>
        </w:rPr>
        <w:t xml:space="preserve"> programa eta ikastaroak</w:t>
      </w:r>
      <w:r w:rsidRPr="00EF348A">
        <w:rPr>
          <w:rFonts w:ascii="Trebuchet MS" w:hAnsi="Trebuchet MS"/>
          <w:lang w:val="eu-ES"/>
        </w:rPr>
        <w:t xml:space="preserve">, eta parte-hartzea ere halaxe banatu da Bizkaia, Gipuzkoa eta Araba artean. Programaren aurrez aurreko eskaintza hori online formakuntzarekin osatu da. </w:t>
      </w:r>
      <w:r w:rsidR="00EF348A" w:rsidRPr="00EF348A">
        <w:rPr>
          <w:rFonts w:ascii="Trebuchet MS" w:hAnsi="Trebuchet MS"/>
          <w:lang w:val="eu-ES"/>
        </w:rPr>
        <w:t>H</w:t>
      </w:r>
      <w:r w:rsidRPr="00EF348A">
        <w:rPr>
          <w:rFonts w:ascii="Trebuchet MS" w:hAnsi="Trebuchet MS"/>
          <w:lang w:val="eu-ES"/>
        </w:rPr>
        <w:t>orrek nabarmen erakusten du Innobasqueren konpromisoa Euskadiko enpresa eta antolakunde sarean berrikuntza eta I+G arloa kudeatzeko gaitasuna sendotzeko.</w:t>
      </w:r>
    </w:p>
    <w:p w14:paraId="4B3F6AE8" w14:textId="77777777" w:rsidR="00B97989" w:rsidRPr="00B97989" w:rsidRDefault="006B0BD4" w:rsidP="00EF348A">
      <w:pPr>
        <w:jc w:val="both"/>
        <w:rPr>
          <w:rFonts w:ascii="Trebuchet MS" w:hAnsi="Trebuchet MS"/>
        </w:rPr>
      </w:pPr>
      <w:r w:rsidRPr="00EF348A">
        <w:rPr>
          <w:rFonts w:ascii="Trebuchet MS" w:hAnsi="Trebuchet MS"/>
          <w:lang w:val="eu-ES"/>
        </w:rPr>
        <w:lastRenderedPageBreak/>
        <w:t>2024ko formakuntza-katalogoa gaikako hiru bloke nagusitan egituratu da, profil desberdinen beharrizan zehatzei erantzuteko: ETEak, beren I+G+b arloa nazioartekotzeko interesa duten antolakundeak eta Innobasqueko erakunde bazkideak.</w:t>
      </w:r>
      <w:r w:rsidR="00B97989" w:rsidRPr="0026358D">
        <w:rPr>
          <w:rFonts w:ascii="Trebuchet MS" w:hAnsi="Trebuchet MS"/>
          <w:lang w:val="eu-ES"/>
        </w:rPr>
        <w:t xml:space="preserve"> </w:t>
      </w:r>
      <w:r w:rsidRPr="00EF348A">
        <w:rPr>
          <w:rFonts w:ascii="Trebuchet MS" w:hAnsi="Trebuchet MS"/>
          <w:lang w:val="eu-ES"/>
        </w:rPr>
        <w:t>Guztira, 21 ikastaro eman dira ETE-ei bideratuta, 7 Europako laguntzen inguruan eta 18 berariaz bazkideei zuzenduak.</w:t>
      </w:r>
      <w:r w:rsidR="00B97989" w:rsidRPr="00EF348A">
        <w:rPr>
          <w:rFonts w:ascii="Trebuchet MS" w:hAnsi="Trebuchet MS"/>
        </w:rPr>
        <w:t xml:space="preserve"> </w:t>
      </w:r>
    </w:p>
    <w:p w14:paraId="4B3F6AE9" w14:textId="77777777" w:rsidR="00B97989" w:rsidRPr="00B97989" w:rsidRDefault="006B0BD4" w:rsidP="00EF348A">
      <w:pPr>
        <w:jc w:val="both"/>
        <w:rPr>
          <w:rFonts w:ascii="Trebuchet MS" w:hAnsi="Trebuchet MS"/>
        </w:rPr>
      </w:pPr>
      <w:r w:rsidRPr="00EF348A">
        <w:rPr>
          <w:rFonts w:ascii="Trebuchet MS" w:hAnsi="Trebuchet MS"/>
          <w:lang w:val="eu-ES"/>
        </w:rPr>
        <w:t>Gaika, besteak beste, honako interesguneak jorratu dira formakuntzan: digitalizazioa, negozio-ereduak, merkatu-analisia, Horizon Europe programaren aukerak</w:t>
      </w:r>
      <w:r w:rsidR="00EF348A" w:rsidRPr="00EF348A">
        <w:rPr>
          <w:rFonts w:ascii="Trebuchet MS" w:hAnsi="Trebuchet MS"/>
          <w:lang w:val="eu-ES"/>
        </w:rPr>
        <w:t>,</w:t>
      </w:r>
      <w:r w:rsidRPr="00EF348A">
        <w:rPr>
          <w:rFonts w:ascii="Trebuchet MS" w:hAnsi="Trebuchet MS"/>
          <w:lang w:val="eu-ES"/>
        </w:rPr>
        <w:t xml:space="preserve"> e</w:t>
      </w:r>
      <w:r w:rsidR="00EF348A" w:rsidRPr="00EF348A">
        <w:rPr>
          <w:rFonts w:ascii="Trebuchet MS" w:hAnsi="Trebuchet MS"/>
          <w:lang w:val="eu-ES"/>
        </w:rPr>
        <w:t>ta</w:t>
      </w:r>
      <w:r w:rsidRPr="00EF348A">
        <w:rPr>
          <w:rFonts w:ascii="Trebuchet MS" w:hAnsi="Trebuchet MS"/>
          <w:lang w:val="eu-ES"/>
        </w:rPr>
        <w:t xml:space="preserve"> indar hartzen ari diren joerak, hala nola adimen artifizial sortzailea. Berrikuntzaren ikuspegi praktiko eta erabilgarria eman nahi izan da ikastaro horietan, betiere enpresen beharrizanei eta erronkei loturik.</w:t>
      </w:r>
      <w:r w:rsidR="00B97989" w:rsidRPr="00EF348A">
        <w:rPr>
          <w:rFonts w:ascii="Trebuchet MS" w:hAnsi="Trebuchet MS"/>
        </w:rPr>
        <w:t xml:space="preserve"> </w:t>
      </w:r>
    </w:p>
    <w:p w14:paraId="4B3F6AEA" w14:textId="77777777" w:rsidR="00B97989" w:rsidRPr="00B97989" w:rsidRDefault="006B0BD4" w:rsidP="00EF348A">
      <w:pPr>
        <w:jc w:val="both"/>
        <w:rPr>
          <w:rFonts w:ascii="Trebuchet MS" w:hAnsi="Trebuchet MS"/>
        </w:rPr>
      </w:pPr>
      <w:r w:rsidRPr="00EF348A">
        <w:rPr>
          <w:rFonts w:ascii="Trebuchet MS" w:hAnsi="Trebuchet MS"/>
          <w:lang w:val="eu-ES"/>
        </w:rPr>
        <w:t>Berrikuntza-prozesuei aurre egiteko tresna praktikoak eskaintzeaz gain, Innobasqueren formakuntza-eskaintzak zubi lanak egiten ditu antolakunde partaideen eta berrikuntzaren euskal ekosistemaren artean, sinergiak eta lankidetzarako aukerak sustatuz.</w:t>
      </w:r>
      <w:r w:rsidR="00B97989" w:rsidRPr="00EF348A">
        <w:rPr>
          <w:rFonts w:ascii="Trebuchet MS" w:hAnsi="Trebuchet MS"/>
        </w:rPr>
        <w:t xml:space="preserve"> </w:t>
      </w:r>
    </w:p>
    <w:p w14:paraId="4B3F6AEB" w14:textId="77777777" w:rsidR="00B97989" w:rsidRPr="00EF348A" w:rsidRDefault="006B0BD4" w:rsidP="00EF348A">
      <w:pPr>
        <w:jc w:val="both"/>
        <w:rPr>
          <w:rFonts w:ascii="Trebuchet MS" w:hAnsi="Trebuchet MS"/>
          <w:b/>
          <w:bCs/>
        </w:rPr>
      </w:pPr>
      <w:r w:rsidRPr="00EF348A">
        <w:rPr>
          <w:rFonts w:ascii="Trebuchet MS" w:hAnsi="Trebuchet MS"/>
          <w:b/>
          <w:bCs/>
          <w:lang w:val="eu-ES"/>
        </w:rPr>
        <w:t>Partaideen profila</w:t>
      </w:r>
    </w:p>
    <w:p w14:paraId="4B3F6AEC" w14:textId="77777777" w:rsidR="00B97989" w:rsidRPr="00B97989" w:rsidRDefault="00B67CF3" w:rsidP="00EF348A">
      <w:pPr>
        <w:jc w:val="both"/>
        <w:rPr>
          <w:rFonts w:ascii="Trebuchet MS" w:hAnsi="Trebuchet MS"/>
        </w:rPr>
      </w:pPr>
      <w:r w:rsidRPr="00EF348A">
        <w:rPr>
          <w:rFonts w:ascii="Trebuchet MS" w:hAnsi="Trebuchet MS"/>
          <w:lang w:val="eu-ES"/>
        </w:rPr>
        <w:t>Parte hartu duten antolakundeen profilak argi erakusten du euskal enpresa ehunaren aniztasuna eta dinamismoa.</w:t>
      </w:r>
      <w:r w:rsidR="00B97989" w:rsidRPr="00EF348A">
        <w:rPr>
          <w:rFonts w:ascii="Trebuchet MS" w:hAnsi="Trebuchet MS"/>
        </w:rPr>
        <w:t xml:space="preserve"> </w:t>
      </w:r>
      <w:r w:rsidRPr="00EF348A">
        <w:rPr>
          <w:rFonts w:ascii="Trebuchet MS" w:hAnsi="Trebuchet MS"/>
          <w:lang w:val="eu-ES"/>
        </w:rPr>
        <w:t>Bertaraturako antolakundeen %72 enpresak izan ziren, eta horietatik erdia (%50) tamaina txikikoak, 11 eta 50 langile artekoak.</w:t>
      </w:r>
      <w:r w:rsidR="00B97989" w:rsidRPr="00EF348A">
        <w:rPr>
          <w:rFonts w:ascii="Trebuchet MS" w:hAnsi="Trebuchet MS"/>
        </w:rPr>
        <w:t xml:space="preserve"> </w:t>
      </w:r>
      <w:r w:rsidRPr="00EF348A">
        <w:rPr>
          <w:rFonts w:ascii="Trebuchet MS" w:hAnsi="Trebuchet MS"/>
          <w:lang w:val="eu-ES"/>
        </w:rPr>
        <w:t>Enpresa partaideen artean, sektore hauetakoak izan ziren gehienak: industria, lotutako zerbitzuak, handizkako merkataritza eta ikerketa eta garapenari (I+G) lotutako jarduerak.</w:t>
      </w:r>
      <w:r w:rsidR="00B97989" w:rsidRPr="00EF348A">
        <w:rPr>
          <w:rFonts w:ascii="Trebuchet MS" w:hAnsi="Trebuchet MS"/>
        </w:rPr>
        <w:t xml:space="preserve"> </w:t>
      </w:r>
    </w:p>
    <w:p w14:paraId="4B3F6AED" w14:textId="77777777" w:rsidR="00B97989" w:rsidRPr="0026358D" w:rsidRDefault="00B67CF3" w:rsidP="00EF348A">
      <w:pPr>
        <w:jc w:val="both"/>
        <w:rPr>
          <w:rFonts w:ascii="Trebuchet MS" w:hAnsi="Trebuchet MS"/>
          <w:lang w:val="eu-ES"/>
        </w:rPr>
      </w:pPr>
      <w:r w:rsidRPr="00EF348A">
        <w:rPr>
          <w:rFonts w:ascii="Trebuchet MS" w:hAnsi="Trebuchet MS"/>
          <w:lang w:val="eu-ES"/>
        </w:rPr>
        <w:t xml:space="preserve">Bestalde, bertaratutako profesionalen profilak ere askotarikoak </w:t>
      </w:r>
      <w:r w:rsidR="00EF348A" w:rsidRPr="00EF348A">
        <w:rPr>
          <w:rFonts w:ascii="Trebuchet MS" w:hAnsi="Trebuchet MS"/>
          <w:lang w:val="eu-ES"/>
        </w:rPr>
        <w:t>izan ziren</w:t>
      </w:r>
      <w:r w:rsidRPr="00EF348A">
        <w:rPr>
          <w:rFonts w:ascii="Trebuchet MS" w:hAnsi="Trebuchet MS"/>
          <w:lang w:val="eu-ES"/>
        </w:rPr>
        <w:t>: zuzendaritza</w:t>
      </w:r>
      <w:r w:rsidR="00EF348A" w:rsidRPr="00EF348A">
        <w:rPr>
          <w:rFonts w:ascii="Trebuchet MS" w:hAnsi="Trebuchet MS"/>
          <w:lang w:val="eu-ES"/>
        </w:rPr>
        <w:t xml:space="preserve"> nagusi</w:t>
      </w:r>
      <w:r w:rsidRPr="00EF348A">
        <w:rPr>
          <w:rFonts w:ascii="Trebuchet MS" w:hAnsi="Trebuchet MS"/>
          <w:lang w:val="eu-ES"/>
        </w:rPr>
        <w:t>ko kideak, antolakunde</w:t>
      </w:r>
      <w:r w:rsidR="00EF348A" w:rsidRPr="00EF348A">
        <w:rPr>
          <w:rFonts w:ascii="Trebuchet MS" w:hAnsi="Trebuchet MS"/>
          <w:lang w:val="eu-ES"/>
        </w:rPr>
        <w:t>aren</w:t>
      </w:r>
      <w:r w:rsidRPr="00EF348A">
        <w:rPr>
          <w:rFonts w:ascii="Trebuchet MS" w:hAnsi="Trebuchet MS"/>
          <w:lang w:val="eu-ES"/>
        </w:rPr>
        <w:t xml:space="preserve"> barnean eremu operatiboetako arduradunak edo prozesu giltzarrietan dihardutenak… </w:t>
      </w:r>
      <w:r w:rsidR="00EF348A" w:rsidRPr="00EF348A">
        <w:rPr>
          <w:rFonts w:ascii="Trebuchet MS" w:hAnsi="Trebuchet MS"/>
          <w:lang w:val="eu-ES"/>
        </w:rPr>
        <w:t>Horrenbestez</w:t>
      </w:r>
      <w:r w:rsidRPr="00EF348A">
        <w:rPr>
          <w:rFonts w:ascii="Trebuchet MS" w:hAnsi="Trebuchet MS"/>
          <w:lang w:val="eu-ES"/>
        </w:rPr>
        <w:t>, formakuntzak eragin zuzena du erabaki estrategikoak hartzen dituzten profilen prestakuntzan.</w:t>
      </w:r>
    </w:p>
    <w:p w14:paraId="4B3F6AEE" w14:textId="77777777" w:rsidR="00B97989" w:rsidRPr="0026358D" w:rsidRDefault="00B67CF3" w:rsidP="00EF348A">
      <w:pPr>
        <w:jc w:val="both"/>
        <w:rPr>
          <w:rFonts w:ascii="Trebuchet MS" w:hAnsi="Trebuchet MS"/>
          <w:lang w:val="eu-ES"/>
        </w:rPr>
      </w:pPr>
      <w:r w:rsidRPr="00EF348A">
        <w:rPr>
          <w:rFonts w:ascii="Trebuchet MS" w:hAnsi="Trebuchet MS"/>
          <w:lang w:val="eu-ES"/>
        </w:rPr>
        <w:t>Partaideek ikastaroen oso balorazio ona egin zuten ebaluazioetan, 10etik 8,5 puntu</w:t>
      </w:r>
      <w:r w:rsidR="00EF348A" w:rsidRPr="00EF348A">
        <w:rPr>
          <w:rFonts w:ascii="Trebuchet MS" w:hAnsi="Trebuchet MS"/>
          <w:lang w:val="eu-ES"/>
        </w:rPr>
        <w:t>, eta</w:t>
      </w:r>
      <w:r w:rsidRPr="00EF348A">
        <w:rPr>
          <w:rFonts w:ascii="Trebuchet MS" w:hAnsi="Trebuchet MS"/>
          <w:lang w:val="eu-ES"/>
        </w:rPr>
        <w:t xml:space="preserve"> batez ere haien izaera praktikoa eta enpresen benetako erronkekin </w:t>
      </w:r>
      <w:r w:rsidR="00EF348A" w:rsidRPr="00EF348A">
        <w:rPr>
          <w:rFonts w:ascii="Trebuchet MS" w:hAnsi="Trebuchet MS"/>
          <w:lang w:val="eu-ES"/>
        </w:rPr>
        <w:t>bat etortzea</w:t>
      </w:r>
      <w:r w:rsidRPr="00EF348A">
        <w:rPr>
          <w:rFonts w:ascii="Trebuchet MS" w:hAnsi="Trebuchet MS"/>
          <w:lang w:val="eu-ES"/>
        </w:rPr>
        <w:t xml:space="preserve"> azpimarratu zuten.</w:t>
      </w:r>
      <w:r w:rsidR="00B97989" w:rsidRPr="0026358D">
        <w:rPr>
          <w:rFonts w:ascii="Trebuchet MS" w:hAnsi="Trebuchet MS"/>
          <w:lang w:val="eu-ES"/>
        </w:rPr>
        <w:t xml:space="preserve"> </w:t>
      </w:r>
    </w:p>
    <w:p w14:paraId="4B3F6AEF" w14:textId="77777777" w:rsidR="00B97989" w:rsidRPr="0026358D" w:rsidRDefault="00AA4913" w:rsidP="00EF348A">
      <w:pPr>
        <w:jc w:val="both"/>
        <w:rPr>
          <w:rFonts w:ascii="Trebuchet MS" w:hAnsi="Trebuchet MS"/>
          <w:b/>
          <w:bCs/>
          <w:lang w:val="eu-ES"/>
        </w:rPr>
      </w:pPr>
      <w:r w:rsidRPr="00EF348A">
        <w:rPr>
          <w:rFonts w:ascii="Trebuchet MS" w:hAnsi="Trebuchet MS"/>
          <w:b/>
          <w:bCs/>
          <w:lang w:val="eu-ES"/>
        </w:rPr>
        <w:t xml:space="preserve"> </w:t>
      </w:r>
      <w:r w:rsidR="00B67CF3" w:rsidRPr="00EF348A">
        <w:rPr>
          <w:rFonts w:ascii="Trebuchet MS" w:hAnsi="Trebuchet MS"/>
          <w:b/>
          <w:bCs/>
          <w:lang w:val="eu-ES"/>
        </w:rPr>
        <w:t xml:space="preserve">‘Formakuntza </w:t>
      </w:r>
      <w:r w:rsidR="00EA7100">
        <w:rPr>
          <w:rFonts w:ascii="Trebuchet MS" w:hAnsi="Trebuchet MS"/>
          <w:b/>
          <w:bCs/>
          <w:lang w:val="eu-ES"/>
        </w:rPr>
        <w:t>B</w:t>
      </w:r>
      <w:r w:rsidR="00B67CF3" w:rsidRPr="00EF348A">
        <w:rPr>
          <w:rFonts w:ascii="Trebuchet MS" w:hAnsi="Trebuchet MS"/>
          <w:b/>
          <w:bCs/>
          <w:lang w:val="eu-ES"/>
        </w:rPr>
        <w:t>errikuntzan’ programari buruz</w:t>
      </w:r>
    </w:p>
    <w:p w14:paraId="4B3F6AF0" w14:textId="77777777" w:rsidR="00B97989" w:rsidRPr="0026358D" w:rsidRDefault="003A3D14" w:rsidP="00EF348A">
      <w:pPr>
        <w:jc w:val="both"/>
        <w:rPr>
          <w:rFonts w:ascii="Trebuchet MS" w:hAnsi="Trebuchet MS"/>
          <w:lang w:val="eu-ES"/>
        </w:rPr>
      </w:pPr>
      <w:r w:rsidRPr="00EF348A">
        <w:rPr>
          <w:rFonts w:ascii="Trebuchet MS" w:hAnsi="Trebuchet MS"/>
          <w:lang w:val="eu-ES"/>
        </w:rPr>
        <w:t xml:space="preserve">Innobasqueren ‘Formakuntza </w:t>
      </w:r>
      <w:r w:rsidR="00EA7100">
        <w:rPr>
          <w:rFonts w:ascii="Trebuchet MS" w:hAnsi="Trebuchet MS"/>
          <w:lang w:val="eu-ES"/>
        </w:rPr>
        <w:t>B</w:t>
      </w:r>
      <w:r w:rsidRPr="00EF348A">
        <w:rPr>
          <w:rFonts w:ascii="Trebuchet MS" w:hAnsi="Trebuchet MS"/>
          <w:lang w:val="eu-ES"/>
        </w:rPr>
        <w:t>errikuntzan’ programa doako prestakuntza-ekimen bat da, Euskadiko enpresa eta antolakundeen berrikuntza arloko gaitasunak sendotzeko.</w:t>
      </w:r>
      <w:r w:rsidR="00B97989" w:rsidRPr="0026358D">
        <w:rPr>
          <w:rFonts w:ascii="Trebuchet MS" w:hAnsi="Trebuchet MS"/>
          <w:lang w:val="eu-ES"/>
        </w:rPr>
        <w:t xml:space="preserve"> </w:t>
      </w:r>
    </w:p>
    <w:p w14:paraId="4B3F6AF1" w14:textId="77777777" w:rsidR="00B97989" w:rsidRPr="0026358D" w:rsidRDefault="00EF348A" w:rsidP="00EF348A">
      <w:pPr>
        <w:jc w:val="both"/>
        <w:rPr>
          <w:rFonts w:ascii="Trebuchet MS" w:hAnsi="Trebuchet MS"/>
          <w:lang w:val="eu-ES"/>
        </w:rPr>
      </w:pPr>
      <w:r w:rsidRPr="00EF348A">
        <w:rPr>
          <w:rFonts w:ascii="Trebuchet MS" w:hAnsi="Trebuchet MS"/>
          <w:lang w:val="eu-ES"/>
        </w:rPr>
        <w:lastRenderedPageBreak/>
        <w:t>A</w:t>
      </w:r>
      <w:r w:rsidR="003A3D14" w:rsidRPr="00EF348A">
        <w:rPr>
          <w:rFonts w:ascii="Trebuchet MS" w:hAnsi="Trebuchet MS"/>
          <w:lang w:val="eu-ES"/>
        </w:rPr>
        <w:t>skotariko ikastaroak eskaintzen dira,</w:t>
      </w:r>
      <w:r w:rsidRPr="00EF348A">
        <w:rPr>
          <w:rFonts w:ascii="Trebuchet MS" w:hAnsi="Trebuchet MS"/>
          <w:lang w:val="eu-ES"/>
        </w:rPr>
        <w:t xml:space="preserve"> entzute handiko adituen eskutik eta</w:t>
      </w:r>
      <w:r w:rsidR="003A3D14" w:rsidRPr="00EF348A">
        <w:rPr>
          <w:rFonts w:ascii="Trebuchet MS" w:hAnsi="Trebuchet MS"/>
          <w:lang w:val="eu-ES"/>
        </w:rPr>
        <w:t xml:space="preserve"> funtsezkoak diren arloak ardatz harturik: merkatua, digitalizazioa, pertsonak, negozio-ereduak, finantzaketa eta produktua.</w:t>
      </w:r>
      <w:r w:rsidR="00B97989" w:rsidRPr="0026358D">
        <w:rPr>
          <w:rFonts w:ascii="Trebuchet MS" w:hAnsi="Trebuchet MS"/>
          <w:lang w:val="eu-ES"/>
        </w:rPr>
        <w:t xml:space="preserve"> </w:t>
      </w:r>
      <w:r w:rsidR="003A3D14" w:rsidRPr="00EF348A">
        <w:rPr>
          <w:rFonts w:ascii="Trebuchet MS" w:hAnsi="Trebuchet MS"/>
          <w:lang w:val="eu-ES"/>
        </w:rPr>
        <w:t>Profil desberdinei zuzenduta daude ikastaroak: ETEak, I+G+b arloa nazioartekotzeko interesa duten antolakundeak eta Innobasqueko erakunde bazkideak. Euskadin berrikuntzaren eta I+G arloaren kudeaketa hobetzea da formakuntza horren xedea.</w:t>
      </w:r>
      <w:r w:rsidR="00B97989" w:rsidRPr="0026358D">
        <w:rPr>
          <w:rFonts w:ascii="Trebuchet MS" w:hAnsi="Trebuchet MS"/>
          <w:lang w:val="eu-ES"/>
        </w:rPr>
        <w:t xml:space="preserve"> </w:t>
      </w:r>
    </w:p>
    <w:p w14:paraId="4B3F6AF2" w14:textId="77777777" w:rsidR="00B97989" w:rsidRPr="0026358D" w:rsidRDefault="005F37C1" w:rsidP="00EF348A">
      <w:pPr>
        <w:jc w:val="both"/>
        <w:rPr>
          <w:rFonts w:ascii="Trebuchet MS" w:hAnsi="Trebuchet MS"/>
          <w:lang w:val="eu-ES"/>
        </w:rPr>
      </w:pPr>
      <w:r w:rsidRPr="00EF348A">
        <w:rPr>
          <w:rFonts w:ascii="Trebuchet MS" w:hAnsi="Trebuchet MS"/>
          <w:lang w:val="eu-ES"/>
        </w:rPr>
        <w:t>Programa maiztasun jakinez eguneratzen da, enpresetan eta antolakundeetan eragin gehien izan dezaketen formakuntza-beharrizanei erantzuteko. Era horretara, berrikuntzaren euskal ekosistema sendotzen laguntzen du ekimenak.</w:t>
      </w:r>
    </w:p>
    <w:p w14:paraId="4B3F6AF3" w14:textId="77777777" w:rsidR="00B97989" w:rsidRPr="0026358D" w:rsidRDefault="005F37C1" w:rsidP="00EF348A">
      <w:pPr>
        <w:jc w:val="both"/>
        <w:rPr>
          <w:rFonts w:ascii="Trebuchet MS" w:hAnsi="Trebuchet MS"/>
          <w:lang w:val="eu-ES"/>
        </w:rPr>
      </w:pPr>
      <w:r w:rsidRPr="00EF348A">
        <w:rPr>
          <w:rFonts w:ascii="Trebuchet MS" w:hAnsi="Trebuchet MS"/>
          <w:lang w:val="eu-ES"/>
        </w:rPr>
        <w:t>Berrikuntzaren Euskal Agentziak 2025eko urtarrilean ezagutaraziko du datorren urteko lehen seihilekorako ikastaroen katalogoa; berrikuntza arloko gai garrantzitsuenak jorratuko dira egitarau horretan.</w:t>
      </w:r>
      <w:r w:rsidR="00B97989" w:rsidRPr="0026358D">
        <w:rPr>
          <w:rFonts w:ascii="Trebuchet MS" w:hAnsi="Trebuchet MS"/>
          <w:lang w:val="eu-ES"/>
        </w:rPr>
        <w:t xml:space="preserve"> </w:t>
      </w:r>
      <w:r w:rsidRPr="00EF348A">
        <w:rPr>
          <w:rFonts w:ascii="Trebuchet MS" w:hAnsi="Trebuchet MS"/>
          <w:lang w:val="eu-ES"/>
        </w:rPr>
        <w:t>Ikastaroen eskaintza eta izena emateko orriak hilaren erdialdera egongo dira eskura Innobasque, Berrikuntzaren Euskal Agentziaren webgunean.</w:t>
      </w:r>
    </w:p>
    <w:p w14:paraId="4B3F6AF4" w14:textId="77777777" w:rsidR="00277D95" w:rsidRPr="0026358D" w:rsidRDefault="00277D95" w:rsidP="00B97989">
      <w:pPr>
        <w:jc w:val="both"/>
        <w:rPr>
          <w:rFonts w:ascii="Trebuchet MS" w:hAnsi="Trebuchet MS"/>
          <w:lang w:val="eu-ES"/>
        </w:rPr>
      </w:pPr>
    </w:p>
    <w:p w14:paraId="4B3F6AF5" w14:textId="77777777" w:rsidR="009350F6" w:rsidRPr="00EF348A" w:rsidRDefault="005F37C1" w:rsidP="00EF348A">
      <w:pPr>
        <w:jc w:val="both"/>
      </w:pPr>
      <w:r w:rsidRPr="00EF348A">
        <w:rPr>
          <w:b/>
          <w:bCs/>
          <w:u w:val="single"/>
          <w:lang w:val="eu-ES"/>
        </w:rPr>
        <w:t>Informazio gehiago</w:t>
      </w:r>
    </w:p>
    <w:p w14:paraId="4B3F6AF6" w14:textId="77777777" w:rsidR="009350F6" w:rsidRPr="005F37C1" w:rsidRDefault="005F37C1" w:rsidP="005F37C1">
      <w:pPr>
        <w:jc w:val="both"/>
      </w:pPr>
      <w:r w:rsidRPr="005F37C1">
        <w:rPr>
          <w:b/>
          <w:bCs/>
          <w:lang w:val="eu-ES"/>
        </w:rPr>
        <w:t>Olalla Alonso</w:t>
      </w:r>
    </w:p>
    <w:p w14:paraId="4B3F6AF7" w14:textId="77777777" w:rsidR="009350F6" w:rsidRPr="005F37C1" w:rsidRDefault="005F37C1" w:rsidP="005F37C1">
      <w:pPr>
        <w:jc w:val="both"/>
      </w:pPr>
      <w:r w:rsidRPr="005F37C1">
        <w:rPr>
          <w:lang w:val="eu-ES"/>
        </w:rPr>
        <w:t xml:space="preserve">T. 652728014 / </w:t>
      </w:r>
      <w:hyperlink r:id="rId10" w:history="1">
        <w:r w:rsidRPr="005F37C1">
          <w:rPr>
            <w:rStyle w:val="Hipervnculo"/>
            <w:lang w:val="eu-ES"/>
          </w:rPr>
          <w:t>oalonso@innobasque.eus</w:t>
        </w:r>
      </w:hyperlink>
    </w:p>
    <w:p w14:paraId="4B3F6AF8" w14:textId="77777777" w:rsidR="009350F6" w:rsidRPr="005F37C1" w:rsidRDefault="005F37C1" w:rsidP="005F37C1">
      <w:pPr>
        <w:jc w:val="both"/>
      </w:pPr>
      <w:r w:rsidRPr="005F37C1">
        <w:rPr>
          <w:b/>
          <w:bCs/>
          <w:lang w:val="eu-ES"/>
        </w:rPr>
        <w:t>Ana Larizgoitia</w:t>
      </w:r>
    </w:p>
    <w:p w14:paraId="4B3F6AF9" w14:textId="77777777" w:rsidR="009350F6" w:rsidRPr="005F37C1" w:rsidRDefault="005F37C1" w:rsidP="005F37C1">
      <w:pPr>
        <w:jc w:val="both"/>
      </w:pPr>
      <w:r w:rsidRPr="005F37C1">
        <w:rPr>
          <w:lang w:val="eu-ES"/>
        </w:rPr>
        <w:t xml:space="preserve">Tel. 656 788 328 / </w:t>
      </w:r>
      <w:hyperlink r:id="rId11" w:history="1">
        <w:r w:rsidRPr="005F37C1">
          <w:rPr>
            <w:rStyle w:val="Hipervnculo"/>
            <w:lang w:val="eu-ES"/>
          </w:rPr>
          <w:t>alarizgoitia@innobasque.eus</w:t>
        </w:r>
      </w:hyperlink>
    </w:p>
    <w:p w14:paraId="4B3F6AFA" w14:textId="77777777" w:rsidR="009350F6" w:rsidRPr="009350F6" w:rsidRDefault="009350F6" w:rsidP="004B036D">
      <w:pPr>
        <w:jc w:val="both"/>
      </w:pPr>
      <w:r w:rsidRPr="009350F6">
        <w:rPr>
          <w:b/>
          <w:bCs/>
        </w:rPr>
        <w:t> </w:t>
      </w:r>
    </w:p>
    <w:p w14:paraId="4B3F6AFB" w14:textId="77777777" w:rsidR="00A85761" w:rsidRDefault="00A85761" w:rsidP="004B036D">
      <w:pPr>
        <w:jc w:val="both"/>
      </w:pPr>
    </w:p>
    <w:sectPr w:rsidR="00A85761" w:rsidSect="00BB45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F6AFF" w14:textId="77777777" w:rsidR="005F37C1" w:rsidRDefault="005F37C1" w:rsidP="005D3F0A">
      <w:pPr>
        <w:spacing w:after="0" w:line="240" w:lineRule="auto"/>
      </w:pPr>
      <w:r>
        <w:separator/>
      </w:r>
    </w:p>
  </w:endnote>
  <w:endnote w:type="continuationSeparator" w:id="0">
    <w:p w14:paraId="4B3F6B00" w14:textId="77777777" w:rsidR="005F37C1" w:rsidRDefault="005F37C1" w:rsidP="005D3F0A">
      <w:pPr>
        <w:spacing w:after="0" w:line="240" w:lineRule="auto"/>
      </w:pPr>
      <w:r>
        <w:continuationSeparator/>
      </w:r>
    </w:p>
  </w:endnote>
  <w:endnote w:type="continuationNotice" w:id="1">
    <w:p w14:paraId="4B3F6B01" w14:textId="77777777" w:rsidR="005F37C1" w:rsidRDefault="005F3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6B06" w14:textId="77777777" w:rsidR="00AA4913" w:rsidRDefault="00AA49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6B07" w14:textId="77777777" w:rsidR="00AA4913" w:rsidRDefault="00AA49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6B09" w14:textId="77777777" w:rsidR="00AA4913" w:rsidRDefault="00AA49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6AFC" w14:textId="77777777" w:rsidR="005F37C1" w:rsidRDefault="005F37C1" w:rsidP="005D3F0A">
      <w:pPr>
        <w:spacing w:after="0" w:line="240" w:lineRule="auto"/>
      </w:pPr>
      <w:r>
        <w:separator/>
      </w:r>
    </w:p>
  </w:footnote>
  <w:footnote w:type="continuationSeparator" w:id="0">
    <w:p w14:paraId="4B3F6AFD" w14:textId="77777777" w:rsidR="005F37C1" w:rsidRDefault="005F37C1" w:rsidP="005D3F0A">
      <w:pPr>
        <w:spacing w:after="0" w:line="240" w:lineRule="auto"/>
      </w:pPr>
      <w:r>
        <w:continuationSeparator/>
      </w:r>
    </w:p>
  </w:footnote>
  <w:footnote w:type="continuationNotice" w:id="1">
    <w:p w14:paraId="4B3F6AFE" w14:textId="77777777" w:rsidR="005F37C1" w:rsidRDefault="005F3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6B02" w14:textId="77777777" w:rsidR="00AA4913" w:rsidRDefault="00AA49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6B03" w14:textId="77777777" w:rsidR="005F37C1" w:rsidRDefault="005F37C1">
    <w:pPr>
      <w:pStyle w:val="Encabezado"/>
    </w:pPr>
    <w:r>
      <w:rPr>
        <w:noProof/>
        <w:lang w:eastAsia="es-ES"/>
      </w:rPr>
      <w:drawing>
        <wp:inline distT="0" distB="0" distL="0" distR="0" wp14:anchorId="4B3F6B0A" wp14:editId="4B3F6B0B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F6B04" w14:textId="77777777" w:rsidR="005F37C1" w:rsidRDefault="005F37C1">
    <w:pPr>
      <w:pStyle w:val="Encabezado"/>
    </w:pPr>
  </w:p>
  <w:p w14:paraId="4B3F6B05" w14:textId="77777777" w:rsidR="005F37C1" w:rsidRDefault="005F37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6B08" w14:textId="77777777" w:rsidR="00AA4913" w:rsidRDefault="00AA49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69DE"/>
    <w:multiLevelType w:val="hybridMultilevel"/>
    <w:tmpl w:val="91A60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E2088"/>
    <w:multiLevelType w:val="hybridMultilevel"/>
    <w:tmpl w:val="D86C2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16CA7"/>
    <w:multiLevelType w:val="hybridMultilevel"/>
    <w:tmpl w:val="7F16E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641111">
    <w:abstractNumId w:val="1"/>
  </w:num>
  <w:num w:numId="2" w16cid:durableId="661542847">
    <w:abstractNumId w:val="5"/>
  </w:num>
  <w:num w:numId="3" w16cid:durableId="674109581">
    <w:abstractNumId w:val="2"/>
  </w:num>
  <w:num w:numId="4" w16cid:durableId="1900902005">
    <w:abstractNumId w:val="4"/>
  </w:num>
  <w:num w:numId="5" w16cid:durableId="933054510">
    <w:abstractNumId w:val="0"/>
  </w:num>
  <w:num w:numId="6" w16cid:durableId="111095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0F6"/>
    <w:rsid w:val="00003D63"/>
    <w:rsid w:val="0001345E"/>
    <w:rsid w:val="00017645"/>
    <w:rsid w:val="00050DD9"/>
    <w:rsid w:val="00067188"/>
    <w:rsid w:val="00073B36"/>
    <w:rsid w:val="00074786"/>
    <w:rsid w:val="0007724B"/>
    <w:rsid w:val="0008035E"/>
    <w:rsid w:val="000B1EB1"/>
    <w:rsid w:val="000B3842"/>
    <w:rsid w:val="000C30B6"/>
    <w:rsid w:val="000D263B"/>
    <w:rsid w:val="000D3253"/>
    <w:rsid w:val="000E2296"/>
    <w:rsid w:val="000E30FF"/>
    <w:rsid w:val="000E31CD"/>
    <w:rsid w:val="0012231F"/>
    <w:rsid w:val="00126458"/>
    <w:rsid w:val="00156DC6"/>
    <w:rsid w:val="00185079"/>
    <w:rsid w:val="001D1D70"/>
    <w:rsid w:val="001D581A"/>
    <w:rsid w:val="00207C78"/>
    <w:rsid w:val="00217C2E"/>
    <w:rsid w:val="0022181A"/>
    <w:rsid w:val="00227183"/>
    <w:rsid w:val="00241709"/>
    <w:rsid w:val="002440FB"/>
    <w:rsid w:val="0025221F"/>
    <w:rsid w:val="0025295C"/>
    <w:rsid w:val="002629F3"/>
    <w:rsid w:val="0026358D"/>
    <w:rsid w:val="002666DD"/>
    <w:rsid w:val="00266D47"/>
    <w:rsid w:val="00277D95"/>
    <w:rsid w:val="00281546"/>
    <w:rsid w:val="0028247C"/>
    <w:rsid w:val="002832A6"/>
    <w:rsid w:val="002A4E20"/>
    <w:rsid w:val="002C349E"/>
    <w:rsid w:val="002D3D03"/>
    <w:rsid w:val="002F30D7"/>
    <w:rsid w:val="002F7BE5"/>
    <w:rsid w:val="00300221"/>
    <w:rsid w:val="00307593"/>
    <w:rsid w:val="003128F6"/>
    <w:rsid w:val="003247C9"/>
    <w:rsid w:val="00333596"/>
    <w:rsid w:val="003358D7"/>
    <w:rsid w:val="00340BB8"/>
    <w:rsid w:val="00341BF8"/>
    <w:rsid w:val="003455EC"/>
    <w:rsid w:val="0035138B"/>
    <w:rsid w:val="003735C3"/>
    <w:rsid w:val="0037432C"/>
    <w:rsid w:val="00375ACD"/>
    <w:rsid w:val="00390950"/>
    <w:rsid w:val="003A3D14"/>
    <w:rsid w:val="003C27AA"/>
    <w:rsid w:val="003C2D44"/>
    <w:rsid w:val="003C2D96"/>
    <w:rsid w:val="003C601A"/>
    <w:rsid w:val="003C736B"/>
    <w:rsid w:val="003D24D7"/>
    <w:rsid w:val="003F0071"/>
    <w:rsid w:val="003F0D1A"/>
    <w:rsid w:val="003F3308"/>
    <w:rsid w:val="003F6FAB"/>
    <w:rsid w:val="0040292C"/>
    <w:rsid w:val="004330DD"/>
    <w:rsid w:val="0045008B"/>
    <w:rsid w:val="00451824"/>
    <w:rsid w:val="00456E6C"/>
    <w:rsid w:val="00461D42"/>
    <w:rsid w:val="00467CAD"/>
    <w:rsid w:val="0047149E"/>
    <w:rsid w:val="004964C3"/>
    <w:rsid w:val="004A7F71"/>
    <w:rsid w:val="004B036D"/>
    <w:rsid w:val="004C0069"/>
    <w:rsid w:val="004C4223"/>
    <w:rsid w:val="004D1574"/>
    <w:rsid w:val="004D2FE3"/>
    <w:rsid w:val="0050199B"/>
    <w:rsid w:val="00526B47"/>
    <w:rsid w:val="00575F29"/>
    <w:rsid w:val="005821B7"/>
    <w:rsid w:val="005A2274"/>
    <w:rsid w:val="005A3520"/>
    <w:rsid w:val="005D3F0A"/>
    <w:rsid w:val="005E475A"/>
    <w:rsid w:val="005F37C1"/>
    <w:rsid w:val="005F5391"/>
    <w:rsid w:val="005F6A2F"/>
    <w:rsid w:val="00603F4B"/>
    <w:rsid w:val="006565A5"/>
    <w:rsid w:val="00657D27"/>
    <w:rsid w:val="00677787"/>
    <w:rsid w:val="00693B36"/>
    <w:rsid w:val="006B0BD4"/>
    <w:rsid w:val="006D6230"/>
    <w:rsid w:val="006F2492"/>
    <w:rsid w:val="006F3589"/>
    <w:rsid w:val="00713FFD"/>
    <w:rsid w:val="00714857"/>
    <w:rsid w:val="00714E9D"/>
    <w:rsid w:val="007214E8"/>
    <w:rsid w:val="007221B7"/>
    <w:rsid w:val="0072580D"/>
    <w:rsid w:val="00737BE5"/>
    <w:rsid w:val="007440B4"/>
    <w:rsid w:val="007452B7"/>
    <w:rsid w:val="007552DD"/>
    <w:rsid w:val="0075617A"/>
    <w:rsid w:val="007610AE"/>
    <w:rsid w:val="0077096E"/>
    <w:rsid w:val="00771673"/>
    <w:rsid w:val="00773249"/>
    <w:rsid w:val="0079553A"/>
    <w:rsid w:val="007B48AC"/>
    <w:rsid w:val="007D51B0"/>
    <w:rsid w:val="007E1361"/>
    <w:rsid w:val="007F7734"/>
    <w:rsid w:val="0080784E"/>
    <w:rsid w:val="00813B55"/>
    <w:rsid w:val="00814762"/>
    <w:rsid w:val="00842D7A"/>
    <w:rsid w:val="008528FF"/>
    <w:rsid w:val="00860C00"/>
    <w:rsid w:val="00871A9F"/>
    <w:rsid w:val="008763B4"/>
    <w:rsid w:val="008942A3"/>
    <w:rsid w:val="008A2695"/>
    <w:rsid w:val="008A6E9C"/>
    <w:rsid w:val="008A7F6F"/>
    <w:rsid w:val="008B0BA0"/>
    <w:rsid w:val="008B166D"/>
    <w:rsid w:val="008B74BE"/>
    <w:rsid w:val="008D06C9"/>
    <w:rsid w:val="008E0F84"/>
    <w:rsid w:val="008F1A80"/>
    <w:rsid w:val="00903817"/>
    <w:rsid w:val="00926360"/>
    <w:rsid w:val="00926415"/>
    <w:rsid w:val="009315FE"/>
    <w:rsid w:val="00931E37"/>
    <w:rsid w:val="009350F6"/>
    <w:rsid w:val="00942AEC"/>
    <w:rsid w:val="00942FDD"/>
    <w:rsid w:val="009470BE"/>
    <w:rsid w:val="0095149B"/>
    <w:rsid w:val="00986D59"/>
    <w:rsid w:val="009921EF"/>
    <w:rsid w:val="00994C72"/>
    <w:rsid w:val="009B34CE"/>
    <w:rsid w:val="009B5811"/>
    <w:rsid w:val="009C649C"/>
    <w:rsid w:val="009F6E59"/>
    <w:rsid w:val="00A05257"/>
    <w:rsid w:val="00A121F1"/>
    <w:rsid w:val="00A17124"/>
    <w:rsid w:val="00A469C8"/>
    <w:rsid w:val="00A51487"/>
    <w:rsid w:val="00A660AE"/>
    <w:rsid w:val="00A75581"/>
    <w:rsid w:val="00A85761"/>
    <w:rsid w:val="00AA13B8"/>
    <w:rsid w:val="00AA4913"/>
    <w:rsid w:val="00AA6898"/>
    <w:rsid w:val="00B11287"/>
    <w:rsid w:val="00B21CCA"/>
    <w:rsid w:val="00B23DE3"/>
    <w:rsid w:val="00B56FBF"/>
    <w:rsid w:val="00B67CF3"/>
    <w:rsid w:val="00B76377"/>
    <w:rsid w:val="00B82501"/>
    <w:rsid w:val="00B912AF"/>
    <w:rsid w:val="00B97989"/>
    <w:rsid w:val="00BB1C5B"/>
    <w:rsid w:val="00BB4503"/>
    <w:rsid w:val="00BB7ACE"/>
    <w:rsid w:val="00BD202D"/>
    <w:rsid w:val="00BF13B8"/>
    <w:rsid w:val="00C00B98"/>
    <w:rsid w:val="00C14333"/>
    <w:rsid w:val="00C32D48"/>
    <w:rsid w:val="00C4420D"/>
    <w:rsid w:val="00C83109"/>
    <w:rsid w:val="00C84A07"/>
    <w:rsid w:val="00C93316"/>
    <w:rsid w:val="00C95EFD"/>
    <w:rsid w:val="00CB28B8"/>
    <w:rsid w:val="00CC18BF"/>
    <w:rsid w:val="00CD1A75"/>
    <w:rsid w:val="00CD46E1"/>
    <w:rsid w:val="00CE0820"/>
    <w:rsid w:val="00CE4A52"/>
    <w:rsid w:val="00CF3A3B"/>
    <w:rsid w:val="00CF42CD"/>
    <w:rsid w:val="00D119A9"/>
    <w:rsid w:val="00D20A91"/>
    <w:rsid w:val="00D22F8A"/>
    <w:rsid w:val="00D26F10"/>
    <w:rsid w:val="00D35812"/>
    <w:rsid w:val="00D52680"/>
    <w:rsid w:val="00D6139F"/>
    <w:rsid w:val="00D70D2F"/>
    <w:rsid w:val="00D71BDD"/>
    <w:rsid w:val="00DA1CFF"/>
    <w:rsid w:val="00DB0067"/>
    <w:rsid w:val="00DC5753"/>
    <w:rsid w:val="00DE3F45"/>
    <w:rsid w:val="00DF1617"/>
    <w:rsid w:val="00DF2C6A"/>
    <w:rsid w:val="00E01113"/>
    <w:rsid w:val="00E02A0A"/>
    <w:rsid w:val="00E04079"/>
    <w:rsid w:val="00E14A73"/>
    <w:rsid w:val="00E47885"/>
    <w:rsid w:val="00E76BC6"/>
    <w:rsid w:val="00E81CCB"/>
    <w:rsid w:val="00E84160"/>
    <w:rsid w:val="00E862B5"/>
    <w:rsid w:val="00E93BF5"/>
    <w:rsid w:val="00EA7100"/>
    <w:rsid w:val="00EC7BF0"/>
    <w:rsid w:val="00ED4A51"/>
    <w:rsid w:val="00EF348A"/>
    <w:rsid w:val="00EF48DA"/>
    <w:rsid w:val="00F072D0"/>
    <w:rsid w:val="00F11461"/>
    <w:rsid w:val="00F24B62"/>
    <w:rsid w:val="00F31D3E"/>
    <w:rsid w:val="00F409B4"/>
    <w:rsid w:val="00F4373E"/>
    <w:rsid w:val="00F4497C"/>
    <w:rsid w:val="00F65BEF"/>
    <w:rsid w:val="00F90C8B"/>
    <w:rsid w:val="00FC232C"/>
    <w:rsid w:val="00FC276A"/>
    <w:rsid w:val="00FC48BC"/>
    <w:rsid w:val="00FE3BFB"/>
    <w:rsid w:val="00FF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F6ADC"/>
  <w15:docId w15:val="{17D6B35B-AEA0-4980-B6C3-D716E2DA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03"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  <w:style w:type="paragraph" w:styleId="NormalWeb">
    <w:name w:val="Normal (Web)"/>
    <w:basedOn w:val="Normal"/>
    <w:uiPriority w:val="99"/>
    <w:semiHidden/>
    <w:unhideWhenUsed/>
    <w:rsid w:val="004A7F71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rizgoitia@innobasque.eu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alonso@innobasque.eu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D1A158-13D9-47EA-869B-1CB60B9F4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SM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Olalla Alonso Velarde</dc:creator>
  <cp:lastModifiedBy>Olalla Alonso Velarde</cp:lastModifiedBy>
  <cp:revision>4</cp:revision>
  <dcterms:created xsi:type="dcterms:W3CDTF">2024-12-31T08:11:00Z</dcterms:created>
  <dcterms:modified xsi:type="dcterms:W3CDTF">2025-01-02T08:03:00Z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